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2"/>
        <w:gridCol w:w="3995"/>
      </w:tblGrid>
      <w:tr w:rsidR="0007250E" w:rsidRPr="00AE29F0" w:rsidTr="0046056C">
        <w:trPr>
          <w:trHeight w:val="30"/>
          <w:tblCellSpacing w:w="0" w:type="auto"/>
        </w:trPr>
        <w:tc>
          <w:tcPr>
            <w:tcW w:w="6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BE3B8F" w:rsidRDefault="0007250E" w:rsidP="0085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E3B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85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Приложение 1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 Правилам присвоения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ученых званий (ассоциированный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профессор (доцент), профессор)</w:t>
            </w:r>
          </w:p>
        </w:tc>
      </w:tr>
    </w:tbl>
    <w:p w:rsidR="0046056C" w:rsidRPr="0046056C" w:rsidRDefault="0046056C" w:rsidP="0046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z59"/>
      <w:r w:rsidRPr="004605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Справка</w:t>
      </w:r>
    </w:p>
    <w:bookmarkEnd w:id="0"/>
    <w:p w:rsidR="0046056C" w:rsidRPr="0046056C" w:rsidRDefault="0046056C" w:rsidP="00460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4605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соискателе ученого звания </w:t>
      </w:r>
      <w:r w:rsidRPr="004605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ассоциированный профессор (доцент)</w:t>
      </w:r>
    </w:p>
    <w:p w:rsidR="0046056C" w:rsidRPr="0046056C" w:rsidRDefault="0046056C" w:rsidP="0046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4605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направлению </w:t>
      </w:r>
      <w:r w:rsidRPr="00460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20100 – Гражданская инженерия </w:t>
      </w:r>
    </w:p>
    <w:p w:rsidR="0046056C" w:rsidRPr="0046056C" w:rsidRDefault="0046056C" w:rsidP="0046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60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(20103 – Транспортная инжиниринг)</w:t>
      </w:r>
    </w:p>
    <w:p w:rsidR="0046056C" w:rsidRPr="0046056C" w:rsidRDefault="0046056C" w:rsidP="00460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val="ru-RU"/>
        </w:rPr>
      </w:pPr>
      <w:r w:rsidRPr="0046056C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val="ru-RU"/>
        </w:rPr>
        <w:t>(шифр и наименование специальности)</w:t>
      </w:r>
    </w:p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535"/>
        <w:gridCol w:w="7503"/>
      </w:tblGrid>
      <w:tr w:rsidR="0057044B" w:rsidRPr="00AE2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Default="004C3347" w:rsidP="000D7B9B">
            <w:pPr>
              <w:spacing w:after="0" w:line="240" w:lineRule="auto"/>
              <w:ind w:left="71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Калиев Ербол Батырханович</w:t>
            </w:r>
          </w:p>
          <w:p w:rsidR="00F2354F" w:rsidRPr="000D7B9B" w:rsidRDefault="00F2354F" w:rsidP="000D7B9B">
            <w:pPr>
              <w:spacing w:after="0" w:line="240" w:lineRule="auto"/>
              <w:ind w:left="71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54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Сведения о написании фамилии, имени и отчества (приложение 1)</w:t>
            </w:r>
          </w:p>
        </w:tc>
      </w:tr>
      <w:tr w:rsidR="0057044B" w:rsidRPr="00AE2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46056C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460" w:rsidRDefault="004C3347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</w:t>
            </w:r>
            <w:r w:rsidR="006C766E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 технических наук</w:t>
            </w:r>
            <w:r w:rsidR="00A354EE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5A4A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979D9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="00945A4A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F979D9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45A4A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3D6162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07.12.2011</w:t>
            </w:r>
            <w:r w:rsidR="000D7B9B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5A4A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9E29B7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МОН РК, </w:t>
            </w:r>
            <w:r w:rsidR="006A64AA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9E29B7" w:rsidRPr="000D7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3D6162" w:rsidRPr="000D7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6A64AA" w:rsidRPr="000D7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29B7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000</w:t>
            </w:r>
            <w:r w:rsidR="003D6162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0380</w:t>
            </w:r>
            <w:r w:rsidR="00945A4A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354F" w:rsidRP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54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Копия Диплома кандидата технических наук в Приложении 2</w:t>
            </w:r>
          </w:p>
        </w:tc>
      </w:tr>
      <w:tr w:rsidR="0057044B" w:rsidRPr="000D7B9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Ученое звание, дата присуждения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F069C3" w:rsidP="000D7B9B">
            <w:pPr>
              <w:spacing w:after="0" w:line="240" w:lineRule="auto"/>
              <w:ind w:left="71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57044B" w:rsidRPr="000D7B9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Почетное звание, дата присуждения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3E36BF" w:rsidP="000D7B9B">
            <w:pPr>
              <w:spacing w:after="0" w:line="240" w:lineRule="auto"/>
              <w:ind w:left="71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A0460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57044B" w:rsidRPr="00AE2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481" w:rsidRPr="00F2354F" w:rsidRDefault="00EB0191" w:rsidP="00F2354F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И.о. д</w:t>
            </w:r>
            <w:r w:rsidR="005F77EF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оцент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5F77EF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кафедры «Космическая техника и технологии»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НАО «Е</w:t>
            </w:r>
            <w:r w:rsidR="005F77EF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 им.</w:t>
            </w:r>
            <w:r w:rsidR="000D7B9B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Л.Н.</w:t>
            </w:r>
            <w:r w:rsidR="000D7B9B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Гумилева»  г.</w:t>
            </w:r>
            <w:r w:rsidR="000D7B9B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Астана</w:t>
            </w:r>
            <w:r w:rsidR="005F77EF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(приказ</w:t>
            </w:r>
            <w:r w:rsidR="00CD296A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№1102-жк от 31.08.2012</w:t>
            </w:r>
            <w:r w:rsidR="000D7B9B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296A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 до 01.09.2015</w:t>
            </w:r>
            <w:r w:rsidR="000D7B9B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296A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 приказ № 984-жк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0D7B9B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5CF7" w:rsidRPr="00F2354F" w:rsidRDefault="003B5CF7" w:rsidP="00F2354F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ссоциированный 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профессор Каз АТК кафедры 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«Автомобили, дорожная техника и стандартизация» (</w:t>
            </w:r>
            <w:r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494   от 27.08.2020</w:t>
            </w:r>
            <w:r w:rsidR="00CD296A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</w:t>
            </w:r>
            <w:r w:rsidR="000D7B9B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296A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30.08.2023г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  <w:r w:rsidR="000D7B9B" w:rsidRPr="00F235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2C59E3" w:rsidRDefault="00933FBD" w:rsidP="00F2354F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570209" w:rsidRPr="00F235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ссистент </w:t>
            </w:r>
            <w:r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профессор кафедры </w:t>
            </w:r>
            <w:r w:rsidR="002C59E3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C6FB3" w:rsidRPr="00F235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Автотранспортные средства и безопасность жизнедеятельности</w:t>
            </w:r>
            <w:r w:rsidR="001C6FB3" w:rsidRPr="00F235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="00F235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АЛТ</w:t>
            </w:r>
            <w:r w:rsidR="003E36BF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354EE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F00B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 w:rsidR="005B79F5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00B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B5CF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</w:t>
            </w:r>
            <w:r w:rsidR="00741EFC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00B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B5CF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  <w:r w:rsidR="00011DD0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81FD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11DD0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5CF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9E3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00B7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3E36BF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03522" w:rsidRPr="00F2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354F" w:rsidRPr="00F2354F" w:rsidRDefault="00F2354F" w:rsidP="00F2354F">
            <w:pPr>
              <w:pStyle w:val="a4"/>
              <w:spacing w:after="0" w:line="240" w:lineRule="auto"/>
              <w:ind w:left="43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354F" w:rsidRPr="000D7B9B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54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Личный листок по учету кадров, заверенный АЛТ, копия трудовой книжки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, справки с ВУЗов в Приложении 3</w:t>
            </w:r>
          </w:p>
        </w:tc>
      </w:tr>
      <w:tr w:rsidR="0057044B" w:rsidRPr="00AE2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Стаж научной, научно-педагогической деятельности 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Default="006C4693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Научно-педагогической стаж </w:t>
            </w:r>
            <w:r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E6436"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2A0460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250E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лет, в том числе в должности</w:t>
            </w:r>
            <w:r w:rsidR="00DF00B7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69C3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ассоциированного </w:t>
            </w:r>
            <w:r w:rsidR="00DF00B7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профессора </w:t>
            </w:r>
            <w:r w:rsidR="00F069C3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(доцент)</w:t>
            </w:r>
            <w:r w:rsidR="00C03522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250E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69C3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A354EE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296A"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F95C84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5C84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лет</w:t>
            </w:r>
            <w:r w:rsidR="00F069C3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354F" w:rsidRPr="000D7B9B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54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Личный листок по учету кадров, заверенный АЛТ, копия трудовой книжки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, справки с ВУЗов в Приложении 4</w:t>
            </w:r>
          </w:p>
        </w:tc>
      </w:tr>
      <w:tr w:rsidR="0057044B" w:rsidRPr="00AE2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46056C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научных статей после защиты диссертации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4" w:rsidRPr="000D7B9B" w:rsidRDefault="00934A14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–</w:t>
            </w:r>
            <w:r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E2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bookmarkStart w:id="1" w:name="_GoBack"/>
            <w:bookmarkEnd w:id="1"/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34A14" w:rsidRPr="000D7B9B" w:rsidRDefault="00934A14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изданиях рекомендуемых уполномоченным органом –</w:t>
            </w:r>
            <w:r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E2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19</w:t>
            </w:r>
            <w:r w:rsid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250E" w:rsidRDefault="00934A14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научных журналах, входящих в базы компании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Clarivate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Analytics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(Кларивэйт Аналитикс) (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Clarivate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Analytics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(Вэб оф Сайнс Кор Коллекшн, Кларивэйт Аналитикс)) _-,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(Скопус) или 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JSTOR</w:t>
            </w:r>
            <w:r w:rsidR="00EC7D9A" w:rsidRPr="000D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(ДЖЕЙСТОР) 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процентиль по 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Cite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Score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менее 35 хотя бы по одной из научных областей – </w:t>
            </w:r>
            <w:r w:rsidR="00C30A07" w:rsidRPr="000D7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354F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354F" w:rsidRPr="009B67EE" w:rsidRDefault="00F2354F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B67E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Список трудов и оттиски в Приложениях  5.1, 5.2, 5.3</w:t>
            </w:r>
          </w:p>
        </w:tc>
      </w:tr>
      <w:tr w:rsidR="0057044B" w:rsidRPr="00AE2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Количество, изданных за последние </w:t>
            </w:r>
            <w:r w:rsidR="006A69F0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65CAA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69F0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монографий, учебников, единолично написанных учебных (учебно-методическое) пособий 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EC9" w:rsidRPr="000D7B9B" w:rsidRDefault="00C23EC9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-6</w:t>
            </w:r>
          </w:p>
          <w:p w:rsidR="006A69F0" w:rsidRPr="000D7B9B" w:rsidRDefault="006A69F0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Монография –</w:t>
            </w:r>
            <w:r w:rsid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0;</w:t>
            </w:r>
          </w:p>
          <w:p w:rsidR="0007250E" w:rsidRPr="000D7B9B" w:rsidRDefault="006A69F0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</w:t>
            </w:r>
            <w:r w:rsidR="00C23EC9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написанные в соавторстве </w:t>
            </w: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23EC9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2354F" w:rsidRDefault="00CE6436" w:rsidP="000D7B9B">
            <w:pPr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Единолично написанных учебных пособий-</w:t>
            </w:r>
            <w:r w:rsidR="00C23EC9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6436" w:rsidRDefault="00CE6436" w:rsidP="00F23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354F" w:rsidRPr="00F2354F" w:rsidRDefault="00F2354F" w:rsidP="00F23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54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Оттиски представлены в Приложениях 5.4, 5.5</w:t>
            </w:r>
          </w:p>
        </w:tc>
      </w:tr>
      <w:tr w:rsidR="0057044B" w:rsidRPr="000D7B9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3B3277" w:rsidP="000D7B9B">
            <w:pPr>
              <w:pStyle w:val="a4"/>
              <w:spacing w:after="0" w:line="240" w:lineRule="auto"/>
              <w:ind w:left="71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57044B" w:rsidRPr="00AE2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9F0" w:rsidRDefault="0094268E" w:rsidP="000D7B9B">
            <w:pPr>
              <w:spacing w:after="0" w:line="228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2020-2021</w:t>
            </w:r>
            <w:r w:rsidR="003B3277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уч. году студент группы ТТ(ЛТ)-15-2 </w:t>
            </w:r>
            <w:r w:rsidRPr="000D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Қалмағанбетов</w:t>
            </w: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D5E73" w:rsidRPr="000D7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3277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результатам </w:t>
            </w:r>
            <w:r w:rsidR="003B3277" w:rsidRPr="000D7B9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B3277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этапа Республиканской студенческой предметной олимпиады награжден Дипломом </w:t>
            </w:r>
            <w:r w:rsidR="00C30A07" w:rsidRPr="000D7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3277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 </w:t>
            </w:r>
          </w:p>
          <w:p w:rsidR="00AE29F0" w:rsidRPr="00AE29F0" w:rsidRDefault="00AE29F0" w:rsidP="00AE29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C2E" w:rsidRPr="00AE29F0" w:rsidRDefault="00AE29F0" w:rsidP="00AE29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Приложениях 5.6</w:t>
            </w:r>
          </w:p>
        </w:tc>
      </w:tr>
      <w:tr w:rsidR="0057044B" w:rsidRPr="000D7B9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16" w:lineRule="auto"/>
              <w:ind w:left="62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6268EB" w:rsidP="000D7B9B">
            <w:pPr>
              <w:spacing w:after="0" w:line="240" w:lineRule="auto"/>
              <w:ind w:left="71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27269" w:rsidRPr="000D7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57044B" w:rsidRPr="00F2354F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0D7B9B" w:rsidRDefault="0007250E" w:rsidP="000D7B9B">
            <w:pPr>
              <w:spacing w:after="0" w:line="240" w:lineRule="auto"/>
              <w:ind w:left="6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</w:t>
            </w:r>
            <w:r w:rsidR="00831644" w:rsidRPr="000D7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50E" w:rsidRPr="009B67EE" w:rsidRDefault="0048708D" w:rsidP="000D7B9B">
            <w:pPr>
              <w:pStyle w:val="a5"/>
              <w:spacing w:after="0" w:line="228" w:lineRule="auto"/>
              <w:ind w:left="71" w:right="106"/>
              <w:jc w:val="both"/>
              <w:rPr>
                <w:sz w:val="24"/>
                <w:szCs w:val="24"/>
              </w:rPr>
            </w:pPr>
            <w:r w:rsidRPr="009B67EE">
              <w:rPr>
                <w:sz w:val="24"/>
                <w:szCs w:val="24"/>
                <w:lang w:val="kk-KZ"/>
              </w:rPr>
              <w:t xml:space="preserve">1. </w:t>
            </w:r>
            <w:r w:rsidR="00E10627" w:rsidRPr="009B67EE">
              <w:rPr>
                <w:sz w:val="24"/>
                <w:szCs w:val="24"/>
              </w:rPr>
              <w:t xml:space="preserve">Награжден благодарственным дипломом </w:t>
            </w:r>
            <w:r w:rsidR="000D7B9B" w:rsidRPr="009B67EE">
              <w:rPr>
                <w:sz w:val="24"/>
                <w:szCs w:val="24"/>
              </w:rPr>
              <w:t>Акима</w:t>
            </w:r>
            <w:r w:rsidR="00E10627" w:rsidRPr="009B67EE">
              <w:rPr>
                <w:sz w:val="24"/>
                <w:szCs w:val="24"/>
              </w:rPr>
              <w:t xml:space="preserve"> г.</w:t>
            </w:r>
            <w:r w:rsidR="000D7B9B" w:rsidRPr="009B67EE">
              <w:rPr>
                <w:sz w:val="24"/>
                <w:szCs w:val="24"/>
              </w:rPr>
              <w:t xml:space="preserve"> </w:t>
            </w:r>
            <w:r w:rsidR="00E10627" w:rsidRPr="009B67EE">
              <w:rPr>
                <w:sz w:val="24"/>
                <w:szCs w:val="24"/>
              </w:rPr>
              <w:t>Алматы в 2011</w:t>
            </w:r>
            <w:r w:rsidR="000D7B9B" w:rsidRPr="009B67EE">
              <w:rPr>
                <w:sz w:val="24"/>
                <w:szCs w:val="24"/>
              </w:rPr>
              <w:t xml:space="preserve"> </w:t>
            </w:r>
            <w:r w:rsidR="00E10627" w:rsidRPr="009B67EE">
              <w:rPr>
                <w:sz w:val="24"/>
                <w:szCs w:val="24"/>
              </w:rPr>
              <w:t>г.</w:t>
            </w:r>
          </w:p>
          <w:p w:rsidR="00653580" w:rsidRPr="009B67EE" w:rsidRDefault="0048708D" w:rsidP="000D7B9B">
            <w:pPr>
              <w:widowControl w:val="0"/>
              <w:spacing w:after="0" w:line="240" w:lineRule="auto"/>
              <w:ind w:left="71" w:right="1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="00653580"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постоянной основе принимает участие в выполнении госбюджетных и хоздоговорных научно-исследовательских работ</w:t>
            </w:r>
            <w:r w:rsidR="006F39DE"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(действующее).</w:t>
            </w:r>
          </w:p>
          <w:p w:rsidR="0048708D" w:rsidRPr="009B67EE" w:rsidRDefault="0048708D" w:rsidP="000D7B9B">
            <w:pPr>
              <w:widowControl w:val="0"/>
              <w:spacing w:after="0" w:line="240" w:lineRule="auto"/>
              <w:ind w:left="71" w:right="1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Тема:</w:t>
            </w:r>
            <w:r w:rsidR="009B67EE"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7EE">
              <w:rPr>
                <w:sz w:val="24"/>
                <w:szCs w:val="24"/>
                <w:lang w:val="ru-RU"/>
              </w:rPr>
              <w:t>«</w:t>
            </w:r>
            <w:r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прототипа модернизированной пограничной машины для повышения эффективности выполнения служебно-боевых задач по охране Государственной границы Республики Казахстан» </w:t>
            </w:r>
            <w:r w:rsidR="00335362"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2023-2025</w:t>
            </w:r>
            <w:r w:rsidRPr="009B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гг</w:t>
            </w:r>
          </w:p>
          <w:p w:rsidR="0023296B" w:rsidRPr="009B67EE" w:rsidRDefault="0048708D" w:rsidP="0023296B">
            <w:pPr>
              <w:widowControl w:val="0"/>
              <w:spacing w:after="0" w:line="240" w:lineRule="auto"/>
              <w:ind w:left="7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7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="0023296B" w:rsidRPr="009B67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ГАК, ГЭК</w:t>
            </w:r>
            <w:r w:rsidRPr="009B67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Казахского национального исследовательского технического университета им. К. И. Сатпаева</w:t>
            </w:r>
            <w:r w:rsidR="0023296B" w:rsidRPr="009B67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5362" w:rsidRPr="009B67EE" w:rsidRDefault="0048708D" w:rsidP="00335362">
            <w:pPr>
              <w:widowControl w:val="0"/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7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335362" w:rsidRPr="009B67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Эксперт- оценщик НУ "Независимый казахстанский центр аккредитации»</w:t>
            </w:r>
            <w:r w:rsidR="00335362" w:rsidRPr="009B67EE">
              <w:rPr>
                <w:sz w:val="24"/>
                <w:szCs w:val="24"/>
                <w:lang w:val="ru-RU"/>
              </w:rPr>
              <w:t xml:space="preserve"> </w:t>
            </w:r>
            <w:r w:rsidR="00335362" w:rsidRPr="009B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оценке образовательных программ ВУЗов.</w:t>
            </w:r>
          </w:p>
          <w:p w:rsidR="009B67EE" w:rsidRDefault="009B67EE" w:rsidP="00335362">
            <w:pPr>
              <w:widowControl w:val="0"/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67EE" w:rsidRPr="009B67EE" w:rsidRDefault="009B67EE" w:rsidP="00335362">
            <w:pPr>
              <w:widowControl w:val="0"/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67E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Представлены в приложениях  6.1,6.2,6.3,6.4</w:t>
            </w:r>
          </w:p>
          <w:p w:rsidR="006F39DE" w:rsidRPr="00335362" w:rsidRDefault="006F39DE" w:rsidP="009B67EE">
            <w:pPr>
              <w:widowControl w:val="0"/>
              <w:spacing w:after="0" w:line="240" w:lineRule="auto"/>
              <w:ind w:left="71" w:right="10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E058A" w:rsidRPr="00E75532" w:rsidRDefault="008E058A" w:rsidP="00855E94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E8307E" w:rsidRDefault="00570209" w:rsidP="009824B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D7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D7B9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0D7B9B" w:rsidRPr="000D7B9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</w:t>
      </w:r>
      <w:r w:rsidRPr="000D7B9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Pr="000D7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</w:t>
      </w:r>
      <w:r w:rsidR="00B02A8A" w:rsidRPr="000D7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аведующего кафедры</w:t>
      </w:r>
      <w:r w:rsidR="00E8307E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r w:rsidR="00C03522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«</w:t>
      </w:r>
      <w:r w:rsidR="00E8307E" w:rsidRPr="00E8307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Автотранспортные средства и </w:t>
      </w:r>
    </w:p>
    <w:p w:rsidR="00046E84" w:rsidRPr="00934A14" w:rsidRDefault="00E8307E" w:rsidP="009824B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E8307E">
        <w:rPr>
          <w:rFonts w:ascii="Times New Roman" w:hAnsi="Times New Roman"/>
          <w:b/>
          <w:color w:val="000000"/>
          <w:sz w:val="24"/>
          <w:szCs w:val="24"/>
          <w:lang w:val="ru-RU"/>
        </w:rPr>
        <w:t>безопасность жизнедеятельности</w:t>
      </w:r>
      <w:r w:rsidR="000D7B9B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»   </w:t>
      </w:r>
      <w:r w:rsidR="00046E84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______________</w:t>
      </w:r>
      <w:r w:rsidR="00E75446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_____</w:t>
      </w:r>
      <w:r w:rsidR="00046E84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</w:t>
      </w:r>
      <w:r w:rsidR="000D7B9B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_______________</w:t>
      </w:r>
      <w:r w:rsidR="000D7B9B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</w:t>
      </w:r>
      <w:r w:rsidR="00E75446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 </w:t>
      </w:r>
      <w:r w:rsidR="00570209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Найманова Г.Т</w:t>
      </w:r>
      <w:r w:rsidR="00C03522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.</w:t>
      </w:r>
    </w:p>
    <w:p w:rsidR="00D04BA7" w:rsidRPr="00D079A5" w:rsidRDefault="00046E84" w:rsidP="009824BF">
      <w:pPr>
        <w:spacing w:after="0" w:line="240" w:lineRule="auto"/>
        <w:ind w:left="5040" w:firstLine="63"/>
        <w:rPr>
          <w:rFonts w:ascii="Times New Roman" w:hAnsi="Times New Roman" w:cs="Times New Roman"/>
          <w:sz w:val="23"/>
          <w:szCs w:val="23"/>
          <w:lang w:val="ru-RU"/>
        </w:rPr>
      </w:pP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(Ф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И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О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)</w:t>
      </w:r>
    </w:p>
    <w:sectPr w:rsidR="00D04BA7" w:rsidRPr="00D079A5" w:rsidSect="00E75446">
      <w:footerReference w:type="default" r:id="rId8"/>
      <w:pgSz w:w="12240" w:h="15840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35" w:rsidRDefault="009F3C35" w:rsidP="00926BC4">
      <w:pPr>
        <w:spacing w:after="0" w:line="240" w:lineRule="auto"/>
      </w:pPr>
      <w:r>
        <w:separator/>
      </w:r>
    </w:p>
  </w:endnote>
  <w:endnote w:type="continuationSeparator" w:id="0">
    <w:p w:rsidR="009F3C35" w:rsidRDefault="009F3C35" w:rsidP="009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89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6BC4" w:rsidRPr="00926BC4" w:rsidRDefault="009266D3" w:rsidP="00926BC4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26B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6BC4" w:rsidRPr="00926B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6B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29F0" w:rsidRPr="00AE29F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926B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35" w:rsidRDefault="009F3C35" w:rsidP="00926BC4">
      <w:pPr>
        <w:spacing w:after="0" w:line="240" w:lineRule="auto"/>
      </w:pPr>
      <w:r>
        <w:separator/>
      </w:r>
    </w:p>
  </w:footnote>
  <w:footnote w:type="continuationSeparator" w:id="0">
    <w:p w:rsidR="009F3C35" w:rsidRDefault="009F3C35" w:rsidP="0092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AB"/>
    <w:multiLevelType w:val="hybridMultilevel"/>
    <w:tmpl w:val="3E00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509"/>
    <w:multiLevelType w:val="hybridMultilevel"/>
    <w:tmpl w:val="CECE70D4"/>
    <w:lvl w:ilvl="0" w:tplc="FF668C4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218F1734"/>
    <w:multiLevelType w:val="hybridMultilevel"/>
    <w:tmpl w:val="9F864E68"/>
    <w:lvl w:ilvl="0" w:tplc="CD223E1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34E0231C"/>
    <w:multiLevelType w:val="hybridMultilevel"/>
    <w:tmpl w:val="E0D4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867B8"/>
    <w:multiLevelType w:val="hybridMultilevel"/>
    <w:tmpl w:val="3C32BDB4"/>
    <w:lvl w:ilvl="0" w:tplc="0826E7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8F6"/>
    <w:rsid w:val="00003071"/>
    <w:rsid w:val="00011DD0"/>
    <w:rsid w:val="00021404"/>
    <w:rsid w:val="00045196"/>
    <w:rsid w:val="000463F8"/>
    <w:rsid w:val="00046E84"/>
    <w:rsid w:val="00052FF3"/>
    <w:rsid w:val="00057921"/>
    <w:rsid w:val="000627F4"/>
    <w:rsid w:val="00067A39"/>
    <w:rsid w:val="00072220"/>
    <w:rsid w:val="0007250E"/>
    <w:rsid w:val="000806FE"/>
    <w:rsid w:val="000C0D41"/>
    <w:rsid w:val="000C1359"/>
    <w:rsid w:val="000C6365"/>
    <w:rsid w:val="000D7B9B"/>
    <w:rsid w:val="000E2950"/>
    <w:rsid w:val="000E4431"/>
    <w:rsid w:val="000F463B"/>
    <w:rsid w:val="00106104"/>
    <w:rsid w:val="00127614"/>
    <w:rsid w:val="00135019"/>
    <w:rsid w:val="00142FBB"/>
    <w:rsid w:val="00146D2F"/>
    <w:rsid w:val="00167E2D"/>
    <w:rsid w:val="00184DCF"/>
    <w:rsid w:val="001A16A1"/>
    <w:rsid w:val="001A706E"/>
    <w:rsid w:val="001B2D72"/>
    <w:rsid w:val="001B4E4E"/>
    <w:rsid w:val="001C2D92"/>
    <w:rsid w:val="001C6FB3"/>
    <w:rsid w:val="001D2F5C"/>
    <w:rsid w:val="001E06DD"/>
    <w:rsid w:val="001F13E7"/>
    <w:rsid w:val="001F19B8"/>
    <w:rsid w:val="001F4AC3"/>
    <w:rsid w:val="00204F4F"/>
    <w:rsid w:val="00211A44"/>
    <w:rsid w:val="00220E89"/>
    <w:rsid w:val="002327E6"/>
    <w:rsid w:val="0023296B"/>
    <w:rsid w:val="0023306D"/>
    <w:rsid w:val="00236FF9"/>
    <w:rsid w:val="00240D98"/>
    <w:rsid w:val="00291367"/>
    <w:rsid w:val="002A0008"/>
    <w:rsid w:val="002A0460"/>
    <w:rsid w:val="002B3B89"/>
    <w:rsid w:val="002B6F3D"/>
    <w:rsid w:val="002C4FF2"/>
    <w:rsid w:val="002C59E3"/>
    <w:rsid w:val="002F6BC4"/>
    <w:rsid w:val="00312CA7"/>
    <w:rsid w:val="00335362"/>
    <w:rsid w:val="00340670"/>
    <w:rsid w:val="00362AD0"/>
    <w:rsid w:val="00363D53"/>
    <w:rsid w:val="00364B30"/>
    <w:rsid w:val="00365581"/>
    <w:rsid w:val="00373570"/>
    <w:rsid w:val="003738D5"/>
    <w:rsid w:val="00382F38"/>
    <w:rsid w:val="0039361C"/>
    <w:rsid w:val="003B1F10"/>
    <w:rsid w:val="003B3277"/>
    <w:rsid w:val="003B5CF7"/>
    <w:rsid w:val="003C4092"/>
    <w:rsid w:val="003C50E3"/>
    <w:rsid w:val="003D6162"/>
    <w:rsid w:val="003D6554"/>
    <w:rsid w:val="003E2C6E"/>
    <w:rsid w:val="003E36BF"/>
    <w:rsid w:val="00412A8E"/>
    <w:rsid w:val="00434768"/>
    <w:rsid w:val="00437D62"/>
    <w:rsid w:val="00454786"/>
    <w:rsid w:val="0046056C"/>
    <w:rsid w:val="0046595E"/>
    <w:rsid w:val="00470507"/>
    <w:rsid w:val="00471DF1"/>
    <w:rsid w:val="0048708D"/>
    <w:rsid w:val="004A6581"/>
    <w:rsid w:val="004B72F1"/>
    <w:rsid w:val="004C3347"/>
    <w:rsid w:val="004C7678"/>
    <w:rsid w:val="00524FC9"/>
    <w:rsid w:val="00536FEC"/>
    <w:rsid w:val="005562D0"/>
    <w:rsid w:val="00563DB6"/>
    <w:rsid w:val="00570209"/>
    <w:rsid w:val="0057044B"/>
    <w:rsid w:val="00570F63"/>
    <w:rsid w:val="005A04EE"/>
    <w:rsid w:val="005B5607"/>
    <w:rsid w:val="005B79F5"/>
    <w:rsid w:val="005B7B1F"/>
    <w:rsid w:val="005E6804"/>
    <w:rsid w:val="005E6D3D"/>
    <w:rsid w:val="005E7037"/>
    <w:rsid w:val="005F77EF"/>
    <w:rsid w:val="00610866"/>
    <w:rsid w:val="0061425D"/>
    <w:rsid w:val="0061593E"/>
    <w:rsid w:val="006268EB"/>
    <w:rsid w:val="00653580"/>
    <w:rsid w:val="00654E89"/>
    <w:rsid w:val="006551D2"/>
    <w:rsid w:val="006A64AA"/>
    <w:rsid w:val="006A69F0"/>
    <w:rsid w:val="006B5EF3"/>
    <w:rsid w:val="006C0794"/>
    <w:rsid w:val="006C4693"/>
    <w:rsid w:val="006C766E"/>
    <w:rsid w:val="006E59E3"/>
    <w:rsid w:val="006F39DE"/>
    <w:rsid w:val="00700985"/>
    <w:rsid w:val="00705D28"/>
    <w:rsid w:val="007315D1"/>
    <w:rsid w:val="007320D9"/>
    <w:rsid w:val="00737CE9"/>
    <w:rsid w:val="00741EFC"/>
    <w:rsid w:val="00750E7D"/>
    <w:rsid w:val="00762F8E"/>
    <w:rsid w:val="007806DC"/>
    <w:rsid w:val="00780C8F"/>
    <w:rsid w:val="0078285D"/>
    <w:rsid w:val="00782E60"/>
    <w:rsid w:val="007B0141"/>
    <w:rsid w:val="00810BCD"/>
    <w:rsid w:val="00831644"/>
    <w:rsid w:val="00840D47"/>
    <w:rsid w:val="00855E94"/>
    <w:rsid w:val="0086609C"/>
    <w:rsid w:val="00870737"/>
    <w:rsid w:val="00870BBB"/>
    <w:rsid w:val="00875AD6"/>
    <w:rsid w:val="00881FD7"/>
    <w:rsid w:val="008C575C"/>
    <w:rsid w:val="008D1EB2"/>
    <w:rsid w:val="008D5308"/>
    <w:rsid w:val="008E058A"/>
    <w:rsid w:val="008E7801"/>
    <w:rsid w:val="008F3AA4"/>
    <w:rsid w:val="00921481"/>
    <w:rsid w:val="009266D3"/>
    <w:rsid w:val="00926BC4"/>
    <w:rsid w:val="00933FBD"/>
    <w:rsid w:val="00934A14"/>
    <w:rsid w:val="009360D6"/>
    <w:rsid w:val="0094268E"/>
    <w:rsid w:val="00945A4A"/>
    <w:rsid w:val="00950E88"/>
    <w:rsid w:val="00956499"/>
    <w:rsid w:val="00965CAA"/>
    <w:rsid w:val="009824BF"/>
    <w:rsid w:val="009B67EE"/>
    <w:rsid w:val="009D5E73"/>
    <w:rsid w:val="009D67C6"/>
    <w:rsid w:val="009E1A81"/>
    <w:rsid w:val="009E29B7"/>
    <w:rsid w:val="009E3113"/>
    <w:rsid w:val="009F3C35"/>
    <w:rsid w:val="009F6072"/>
    <w:rsid w:val="00A01FED"/>
    <w:rsid w:val="00A1381B"/>
    <w:rsid w:val="00A27269"/>
    <w:rsid w:val="00A316CA"/>
    <w:rsid w:val="00A33A19"/>
    <w:rsid w:val="00A354D9"/>
    <w:rsid w:val="00A354EE"/>
    <w:rsid w:val="00A55381"/>
    <w:rsid w:val="00A60CEF"/>
    <w:rsid w:val="00A70875"/>
    <w:rsid w:val="00A70C1F"/>
    <w:rsid w:val="00AB1CA3"/>
    <w:rsid w:val="00AC06BF"/>
    <w:rsid w:val="00AC3341"/>
    <w:rsid w:val="00AD7022"/>
    <w:rsid w:val="00AE0C77"/>
    <w:rsid w:val="00AE29F0"/>
    <w:rsid w:val="00AE4E2C"/>
    <w:rsid w:val="00AF74DB"/>
    <w:rsid w:val="00B0057C"/>
    <w:rsid w:val="00B02A8A"/>
    <w:rsid w:val="00B06C7D"/>
    <w:rsid w:val="00B31447"/>
    <w:rsid w:val="00B32463"/>
    <w:rsid w:val="00B427D0"/>
    <w:rsid w:val="00B51CA2"/>
    <w:rsid w:val="00B674A3"/>
    <w:rsid w:val="00BA771C"/>
    <w:rsid w:val="00BD4AA4"/>
    <w:rsid w:val="00BE3B8F"/>
    <w:rsid w:val="00BF358F"/>
    <w:rsid w:val="00C03522"/>
    <w:rsid w:val="00C23EC9"/>
    <w:rsid w:val="00C30A07"/>
    <w:rsid w:val="00C310DD"/>
    <w:rsid w:val="00C42D1C"/>
    <w:rsid w:val="00C56C73"/>
    <w:rsid w:val="00C65136"/>
    <w:rsid w:val="00C96A28"/>
    <w:rsid w:val="00CA664C"/>
    <w:rsid w:val="00CC05F8"/>
    <w:rsid w:val="00CD296A"/>
    <w:rsid w:val="00CE6436"/>
    <w:rsid w:val="00CE65FA"/>
    <w:rsid w:val="00CE6F3C"/>
    <w:rsid w:val="00CF4312"/>
    <w:rsid w:val="00D04BA7"/>
    <w:rsid w:val="00D079A5"/>
    <w:rsid w:val="00D24CF3"/>
    <w:rsid w:val="00D30258"/>
    <w:rsid w:val="00D44389"/>
    <w:rsid w:val="00D55B9C"/>
    <w:rsid w:val="00D574F1"/>
    <w:rsid w:val="00D63319"/>
    <w:rsid w:val="00D73429"/>
    <w:rsid w:val="00D871E5"/>
    <w:rsid w:val="00DA33D5"/>
    <w:rsid w:val="00DC4876"/>
    <w:rsid w:val="00DD18F6"/>
    <w:rsid w:val="00DF00B7"/>
    <w:rsid w:val="00DF7B89"/>
    <w:rsid w:val="00E10627"/>
    <w:rsid w:val="00E16142"/>
    <w:rsid w:val="00E21BDF"/>
    <w:rsid w:val="00E576CE"/>
    <w:rsid w:val="00E63EC5"/>
    <w:rsid w:val="00E73850"/>
    <w:rsid w:val="00E75446"/>
    <w:rsid w:val="00E75532"/>
    <w:rsid w:val="00E8307E"/>
    <w:rsid w:val="00EB0191"/>
    <w:rsid w:val="00EC6D08"/>
    <w:rsid w:val="00EC7D85"/>
    <w:rsid w:val="00EC7D9A"/>
    <w:rsid w:val="00EE0219"/>
    <w:rsid w:val="00EE2B94"/>
    <w:rsid w:val="00F02344"/>
    <w:rsid w:val="00F0277D"/>
    <w:rsid w:val="00F04C10"/>
    <w:rsid w:val="00F069C3"/>
    <w:rsid w:val="00F126F9"/>
    <w:rsid w:val="00F2354F"/>
    <w:rsid w:val="00F65C87"/>
    <w:rsid w:val="00F75C2E"/>
    <w:rsid w:val="00F7725A"/>
    <w:rsid w:val="00F779D0"/>
    <w:rsid w:val="00F81BDB"/>
    <w:rsid w:val="00F95C84"/>
    <w:rsid w:val="00F979D9"/>
    <w:rsid w:val="00FA43A6"/>
    <w:rsid w:val="00FA6E9A"/>
    <w:rsid w:val="00FB4E84"/>
    <w:rsid w:val="00FC0B64"/>
    <w:rsid w:val="00FC3183"/>
    <w:rsid w:val="00FC33EF"/>
    <w:rsid w:val="00FE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CFB8"/>
  <w15:docId w15:val="{22DBB86A-3CE3-4194-9A80-B5CE427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0E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7250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E6F3C"/>
    <w:pPr>
      <w:ind w:left="720"/>
      <w:contextualSpacing/>
    </w:pPr>
  </w:style>
  <w:style w:type="paragraph" w:styleId="a5">
    <w:name w:val="Body Text Indent"/>
    <w:basedOn w:val="a"/>
    <w:link w:val="a6"/>
    <w:rsid w:val="004347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347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BC4"/>
    <w:rPr>
      <w:rFonts w:ascii="Consolas" w:eastAsia="Consolas" w:hAnsi="Consolas" w:cs="Consolas"/>
    </w:rPr>
  </w:style>
  <w:style w:type="paragraph" w:styleId="a9">
    <w:name w:val="footer"/>
    <w:basedOn w:val="a"/>
    <w:link w:val="aa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BC4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4D79-0BCB-4D68-BB9C-04284523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Мусаев</dc:creator>
  <cp:keywords/>
  <dc:description/>
  <cp:lastModifiedBy>Ербол</cp:lastModifiedBy>
  <cp:revision>101</cp:revision>
  <cp:lastPrinted>2020-11-22T21:21:00Z</cp:lastPrinted>
  <dcterms:created xsi:type="dcterms:W3CDTF">2020-10-31T08:15:00Z</dcterms:created>
  <dcterms:modified xsi:type="dcterms:W3CDTF">2024-06-05T10:58:00Z</dcterms:modified>
</cp:coreProperties>
</file>